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F75" w:rsidRPr="006003BC" w:rsidRDefault="006003BC" w:rsidP="00262F75">
      <w:pPr>
        <w:pStyle w:val="berschrift1"/>
        <w:rPr>
          <w:sz w:val="32"/>
          <w:szCs w:val="32"/>
        </w:rPr>
      </w:pPr>
      <w:r>
        <w:rPr>
          <w:sz w:val="32"/>
          <w:szCs w:val="32"/>
        </w:rPr>
        <w:t xml:space="preserve">1  </w:t>
      </w:r>
      <w:r w:rsidR="00262F75" w:rsidRPr="006003BC">
        <w:rPr>
          <w:sz w:val="32"/>
          <w:szCs w:val="32"/>
        </w:rPr>
        <w:t>Chemie mit Leuchtstäben</w:t>
      </w:r>
    </w:p>
    <w:p w:rsidR="00CE3972" w:rsidRDefault="00CE3972" w:rsidP="00262F75">
      <w:pPr>
        <w:pStyle w:val="KeinLeerraum"/>
      </w:pPr>
    </w:p>
    <w:p w:rsidR="00CD67C4" w:rsidRDefault="00CD67C4" w:rsidP="00262F75">
      <w:pPr>
        <w:pStyle w:val="KeinLeerraum"/>
      </w:pPr>
    </w:p>
    <w:p w:rsidR="00094A3D" w:rsidRDefault="006C6E1E" w:rsidP="00094A3D">
      <w:r>
        <w:t xml:space="preserve">Die </w:t>
      </w:r>
      <w:r w:rsidRPr="00CE3972">
        <w:t>F</w:t>
      </w:r>
      <w:r>
        <w:t>arbstoffe in Leuchtstäben</w:t>
      </w:r>
      <w:r w:rsidR="00CD67C4">
        <w:t xml:space="preserve"> leuchten dank einer chemischen Reaktion, das Leuchten heisst </w:t>
      </w:r>
      <w:r w:rsidR="006E0D73" w:rsidRPr="00351811">
        <w:rPr>
          <w:b/>
        </w:rPr>
        <w:t>Chemilumineszenz</w:t>
      </w:r>
      <w:r w:rsidR="006E0D73">
        <w:rPr>
          <w:b/>
        </w:rPr>
        <w:t>.</w:t>
      </w:r>
      <w:r w:rsidR="00094A3D">
        <w:rPr>
          <w:b/>
        </w:rPr>
        <w:t xml:space="preserve"> </w:t>
      </w:r>
      <w:r w:rsidR="00094A3D">
        <w:t>Das Kunststoffrohr des Leuchtstabes enthält Wasserstoffperoxid H</w:t>
      </w:r>
      <w:r w:rsidR="00094A3D" w:rsidRPr="006C6E1E">
        <w:rPr>
          <w:vertAlign w:val="subscript"/>
        </w:rPr>
        <w:t>2</w:t>
      </w:r>
      <w:r w:rsidR="00094A3D">
        <w:t>O</w:t>
      </w:r>
      <w:r w:rsidR="00094A3D" w:rsidRPr="006C6E1E">
        <w:rPr>
          <w:vertAlign w:val="subscript"/>
        </w:rPr>
        <w:t>2</w:t>
      </w:r>
      <w:r w:rsidR="00094A3D">
        <w:t xml:space="preserve">. Darin liegt ein Glasrohr, das den Oxalat-Ester </w:t>
      </w:r>
      <w:r w:rsidR="00094A3D" w:rsidRPr="00094A3D">
        <w:rPr>
          <w:b/>
        </w:rPr>
        <w:t>A</w:t>
      </w:r>
      <w:r w:rsidR="00094A3D">
        <w:t xml:space="preserve"> enthält. Wird es gebrochen, vermischen sich</w:t>
      </w:r>
      <w:r w:rsidR="00094A3D" w:rsidRPr="00094A3D">
        <w:t xml:space="preserve"> </w:t>
      </w:r>
      <w:r w:rsidR="00094A3D">
        <w:t xml:space="preserve">die beiden und </w:t>
      </w:r>
      <w:r w:rsidR="00894899">
        <w:t>di</w:t>
      </w:r>
      <w:r w:rsidR="00094A3D">
        <w:t>e Reaktion</w:t>
      </w:r>
      <w:r w:rsidR="00CD67C4">
        <w:t xml:space="preserve"> startet</w:t>
      </w:r>
      <w:r w:rsidR="00094A3D">
        <w:t>. Als Lösungsmittel dienen z. B. Alkylphtalate, Acetylcitratester und Alkylbenzoate.</w:t>
      </w:r>
    </w:p>
    <w:p w:rsidR="006E0D73" w:rsidRDefault="006E0D73" w:rsidP="00262F75">
      <w:pPr>
        <w:pStyle w:val="KeinLeerraum"/>
      </w:pPr>
    </w:p>
    <w:p w:rsidR="00CD67C4" w:rsidRDefault="00CD67C4" w:rsidP="00262F75">
      <w:pPr>
        <w:pStyle w:val="KeinLeerraum"/>
      </w:pPr>
    </w:p>
    <w:p w:rsidR="00894899" w:rsidRPr="00A55749" w:rsidRDefault="00894899" w:rsidP="00894899">
      <w:pPr>
        <w:rPr>
          <w:b/>
        </w:rPr>
      </w:pPr>
      <w:r w:rsidRPr="00A55749">
        <w:rPr>
          <w:b/>
        </w:rPr>
        <w:t>Experimente</w:t>
      </w:r>
    </w:p>
    <w:p w:rsidR="00B50277" w:rsidRPr="00B50277" w:rsidRDefault="00B50277" w:rsidP="00B50277">
      <w:pPr>
        <w:rPr>
          <w:sz w:val="16"/>
          <w:szCs w:val="16"/>
        </w:rPr>
      </w:pPr>
    </w:p>
    <w:p w:rsidR="00B50277" w:rsidRPr="00B50277" w:rsidRDefault="00B50277" w:rsidP="00B50277">
      <w:pPr>
        <w:rPr>
          <w:sz w:val="16"/>
          <w:szCs w:val="16"/>
        </w:rPr>
      </w:pPr>
    </w:p>
    <w:p w:rsidR="00894899" w:rsidRPr="00491DA5" w:rsidRDefault="00894899" w:rsidP="00894899">
      <w:pPr>
        <w:pStyle w:val="Listenabsatz"/>
        <w:numPr>
          <w:ilvl w:val="0"/>
          <w:numId w:val="1"/>
        </w:numPr>
        <w:ind w:left="426" w:hanging="426"/>
        <w:rPr>
          <w:b/>
        </w:rPr>
      </w:pPr>
      <w:r w:rsidRPr="00491DA5">
        <w:rPr>
          <w:b/>
        </w:rPr>
        <w:t>Öffnen der Leuchtstäbe</w:t>
      </w:r>
    </w:p>
    <w:p w:rsidR="00894899" w:rsidRDefault="00894899" w:rsidP="00894899">
      <w:r w:rsidRPr="00176A58">
        <w:t>Nach dem Aktivieren w</w:t>
      </w:r>
      <w:r>
        <w:t>e</w:t>
      </w:r>
      <w:r w:rsidRPr="00176A58">
        <w:t xml:space="preserve">rden </w:t>
      </w:r>
      <w:r>
        <w:t>die Leuchtst</w:t>
      </w:r>
      <w:r w:rsidRPr="00176A58">
        <w:t xml:space="preserve">äbe </w:t>
      </w:r>
      <w:r>
        <w:t xml:space="preserve">am einen Ende </w:t>
      </w:r>
      <w:r w:rsidRPr="00176A58">
        <w:t>mit eine</w:t>
      </w:r>
      <w:r>
        <w:t>r Kunststoffrohrschere (Schlauchschere) aufgeschnitten und in ein RG entleert.</w:t>
      </w:r>
    </w:p>
    <w:p w:rsidR="00B50277" w:rsidRPr="00B50277" w:rsidRDefault="00B50277" w:rsidP="00B50277">
      <w:pPr>
        <w:rPr>
          <w:sz w:val="16"/>
          <w:szCs w:val="16"/>
        </w:rPr>
      </w:pPr>
    </w:p>
    <w:p w:rsidR="00B50277" w:rsidRPr="00B50277" w:rsidRDefault="00B50277" w:rsidP="00B50277">
      <w:pPr>
        <w:rPr>
          <w:sz w:val="16"/>
          <w:szCs w:val="16"/>
        </w:rPr>
      </w:pPr>
    </w:p>
    <w:p w:rsidR="00894899" w:rsidRPr="00491DA5" w:rsidRDefault="00894899" w:rsidP="00894899">
      <w:pPr>
        <w:pStyle w:val="Listenabsatz"/>
        <w:numPr>
          <w:ilvl w:val="0"/>
          <w:numId w:val="1"/>
        </w:numPr>
        <w:ind w:left="426" w:hanging="426"/>
        <w:rPr>
          <w:b/>
        </w:rPr>
      </w:pPr>
      <w:r>
        <w:rPr>
          <w:b/>
        </w:rPr>
        <w:t xml:space="preserve">Reaktionsgeschwindigkeit/Leuchtstärke durch </w:t>
      </w:r>
      <w:r w:rsidRPr="00491DA5">
        <w:rPr>
          <w:b/>
        </w:rPr>
        <w:t>Basenkatalyse</w:t>
      </w:r>
      <w:r>
        <w:rPr>
          <w:b/>
        </w:rPr>
        <w:t xml:space="preserve"> steuern</w:t>
      </w:r>
    </w:p>
    <w:p w:rsidR="00894899" w:rsidRPr="00176A58" w:rsidRDefault="00894899" w:rsidP="00894899">
      <w:r w:rsidRPr="00176A58">
        <w:t>Sal</w:t>
      </w:r>
      <w:r>
        <w:t>i</w:t>
      </w:r>
      <w:r w:rsidRPr="00176A58">
        <w:t>c</w:t>
      </w:r>
      <w:r>
        <w:t>y</w:t>
      </w:r>
      <w:r w:rsidRPr="00176A58">
        <w:t xml:space="preserve">lat als Base </w:t>
      </w:r>
      <w:r w:rsidR="00B50277">
        <w:t>kann die Reaktion katalysieren</w:t>
      </w:r>
      <w:r w:rsidRPr="00176A58">
        <w:t>. Salicylsäure C</w:t>
      </w:r>
      <w:r w:rsidRPr="00176A58">
        <w:rPr>
          <w:vertAlign w:val="subscript"/>
        </w:rPr>
        <w:t>6</w:t>
      </w:r>
      <w:r w:rsidRPr="00176A58">
        <w:t>H</w:t>
      </w:r>
      <w:r w:rsidRPr="00176A58">
        <w:rPr>
          <w:vertAlign w:val="subscript"/>
        </w:rPr>
        <w:t>5</w:t>
      </w:r>
      <w:r w:rsidRPr="00176A58">
        <w:t xml:space="preserve">(o-OH)COOH </w:t>
      </w:r>
      <w:r w:rsidR="00B50277">
        <w:t>mit pKa</w:t>
      </w:r>
      <w:r w:rsidRPr="00176A58">
        <w:t xml:space="preserve"> 3</w:t>
      </w:r>
      <w:r>
        <w:t xml:space="preserve"> </w:t>
      </w:r>
      <w:r w:rsidR="00B50277">
        <w:t>steht im Gleichgewicht mit der</w:t>
      </w:r>
      <w:r>
        <w:t xml:space="preserve"> korrespondierende Base </w:t>
      </w:r>
      <w:r w:rsidRPr="00176A58">
        <w:t>Sal</w:t>
      </w:r>
      <w:r>
        <w:t>i</w:t>
      </w:r>
      <w:r w:rsidRPr="00176A58">
        <w:t>c</w:t>
      </w:r>
      <w:r>
        <w:t>y</w:t>
      </w:r>
      <w:r w:rsidRPr="00176A58">
        <w:t>lat</w:t>
      </w:r>
      <w:r>
        <w:t>.</w:t>
      </w:r>
      <w:r w:rsidR="00B50277">
        <w:t xml:space="preserve"> Letztere ist im Basischen bevorzugt.</w:t>
      </w:r>
    </w:p>
    <w:p w:rsidR="00894899" w:rsidRPr="00A55749" w:rsidRDefault="00894899" w:rsidP="00894899">
      <w:pPr>
        <w:rPr>
          <w:sz w:val="8"/>
          <w:szCs w:val="8"/>
        </w:rPr>
      </w:pPr>
    </w:p>
    <w:p w:rsidR="00894899" w:rsidRPr="00491DA5" w:rsidRDefault="00894899" w:rsidP="00894899">
      <w:r>
        <w:t xml:space="preserve">Allgemeine Basenkatalyse: Ein aktivierter blauer oder roter Leuchtstift und je 5-10ml werden in drei RG’s verteilt. Zum ersten RG werden etwa 1-2 ml HCl aq 0.1m gegeben, zum zweiten 1-2 ml </w:t>
      </w:r>
      <w:r w:rsidRPr="00176A58">
        <w:t>NaOH</w:t>
      </w:r>
      <w:r>
        <w:t xml:space="preserve"> aq </w:t>
      </w:r>
      <w:r w:rsidRPr="00176A58">
        <w:t>0.1 M</w:t>
      </w:r>
      <w:r>
        <w:t xml:space="preserve"> und zum dritten 1-2 ml entmineralisiertes Wasser. </w:t>
      </w:r>
      <w:r w:rsidRPr="00491DA5">
        <w:t xml:space="preserve">Die Inhalte der RG werden gemischt. </w:t>
      </w:r>
    </w:p>
    <w:p w:rsidR="00894899" w:rsidRDefault="00894899" w:rsidP="00894899">
      <w:r w:rsidRPr="00787D93">
        <w:t xml:space="preserve">Die Mischung mit Base </w:t>
      </w:r>
      <w:r>
        <w:t>leuchtet am stärksten (das Gleichgewicht wurde zugunsten des Salicylates verschoben), die Mischung mit Säure leuchtet schwächer als die Referenz mit entmineralisiertem Wasser. Meistens kann hier das Leuchten durch Laugenzugabe wieder erhöht werden. Umgekehrt kann die stark leuchtende Mischung mit Säure „gebremst“ werden.</w:t>
      </w:r>
    </w:p>
    <w:p w:rsidR="00894899" w:rsidRPr="00A55749" w:rsidRDefault="00894899" w:rsidP="00894899">
      <w:pPr>
        <w:rPr>
          <w:sz w:val="8"/>
          <w:szCs w:val="8"/>
        </w:rPr>
      </w:pPr>
    </w:p>
    <w:p w:rsidR="00894899" w:rsidRPr="00CD67C4" w:rsidRDefault="00894899" w:rsidP="00894899">
      <w:pPr>
        <w:rPr>
          <w:sz w:val="8"/>
          <w:szCs w:val="8"/>
        </w:rPr>
      </w:pPr>
      <w:r>
        <w:t>Spezifische Basenkatalyse: Natriu</w:t>
      </w:r>
      <w:r w:rsidR="00CD67C4">
        <w:t xml:space="preserve">msalicylat zum Gemisch zugeben: </w:t>
      </w:r>
      <w:r>
        <w:t>Beobachte die Kohlenstoffdioxidentwicklung und die Wärmeabgabe.</w:t>
      </w:r>
    </w:p>
    <w:p w:rsidR="00894899" w:rsidRPr="00CB7814" w:rsidRDefault="00894899" w:rsidP="00894899">
      <w:pPr>
        <w:rPr>
          <w:sz w:val="8"/>
          <w:szCs w:val="8"/>
        </w:rPr>
      </w:pPr>
    </w:p>
    <w:p w:rsidR="00894899" w:rsidRPr="00B50277" w:rsidRDefault="00894899" w:rsidP="00894899">
      <w:pPr>
        <w:rPr>
          <w:b/>
          <w:sz w:val="16"/>
          <w:szCs w:val="16"/>
        </w:rPr>
      </w:pPr>
      <w:r w:rsidRPr="00B50277">
        <w:rPr>
          <w:b/>
          <w:sz w:val="16"/>
          <w:szCs w:val="16"/>
        </w:rPr>
        <w:t xml:space="preserve">Bildungsenthalpie </w:t>
      </w:r>
      <w:r w:rsidRPr="00B50277">
        <w:rPr>
          <w:rFonts w:ascii="Symbol" w:hAnsi="Symbol"/>
          <w:b/>
          <w:sz w:val="16"/>
          <w:szCs w:val="16"/>
        </w:rPr>
        <w:t></w:t>
      </w:r>
      <w:r w:rsidRPr="00B50277">
        <w:rPr>
          <w:b/>
          <w:sz w:val="16"/>
          <w:szCs w:val="16"/>
          <w:vertAlign w:val="subscript"/>
        </w:rPr>
        <w:t>f</w:t>
      </w:r>
      <w:r w:rsidRPr="00B50277">
        <w:rPr>
          <w:b/>
          <w:sz w:val="16"/>
          <w:szCs w:val="16"/>
        </w:rPr>
        <w:t xml:space="preserve">H° / (kJ </w:t>
      </w:r>
      <w:r w:rsidRPr="00B50277">
        <w:rPr>
          <w:b/>
          <w:sz w:val="16"/>
          <w:szCs w:val="16"/>
        </w:rPr>
        <w:sym w:font="Symbol" w:char="F0D7"/>
      </w:r>
      <w:r w:rsidRPr="00B50277">
        <w:rPr>
          <w:b/>
          <w:sz w:val="16"/>
          <w:szCs w:val="16"/>
        </w:rPr>
        <w:t xml:space="preserve"> mol</w:t>
      </w:r>
      <w:r w:rsidRPr="00B50277">
        <w:rPr>
          <w:b/>
          <w:sz w:val="16"/>
          <w:szCs w:val="16"/>
          <w:vertAlign w:val="superscript"/>
        </w:rPr>
        <w:t>-1</w:t>
      </w:r>
      <w:r w:rsidRPr="00B50277">
        <w:rPr>
          <w:b/>
          <w:sz w:val="16"/>
          <w:szCs w:val="16"/>
        </w:rPr>
        <w:t>) der Verbindungen in der Leuchtstabreaktion</w:t>
      </w:r>
    </w:p>
    <w:tbl>
      <w:tblPr>
        <w:tblStyle w:val="Tabellenraster"/>
        <w:tblW w:w="0" w:type="auto"/>
        <w:tblLook w:val="04A0" w:firstRow="1" w:lastRow="0" w:firstColumn="1" w:lastColumn="0" w:noHBand="0" w:noVBand="1"/>
      </w:tblPr>
      <w:tblGrid>
        <w:gridCol w:w="3227"/>
        <w:gridCol w:w="1559"/>
        <w:gridCol w:w="1843"/>
        <w:gridCol w:w="2583"/>
      </w:tblGrid>
      <w:tr w:rsidR="00894899" w:rsidRPr="00B50277" w:rsidTr="009971A9">
        <w:tc>
          <w:tcPr>
            <w:tcW w:w="3227" w:type="dxa"/>
            <w:tcBorders>
              <w:bottom w:val="single" w:sz="4" w:space="0" w:color="auto"/>
              <w:right w:val="nil"/>
            </w:tcBorders>
          </w:tcPr>
          <w:p w:rsidR="00894899" w:rsidRPr="00B50277" w:rsidRDefault="00894899" w:rsidP="009971A9">
            <w:pPr>
              <w:rPr>
                <w:sz w:val="16"/>
                <w:szCs w:val="16"/>
              </w:rPr>
            </w:pPr>
            <w:r w:rsidRPr="00B50277">
              <w:rPr>
                <w:sz w:val="16"/>
                <w:szCs w:val="16"/>
              </w:rPr>
              <w:t>Phenyloxalatester C</w:t>
            </w:r>
            <w:r w:rsidRPr="00B50277">
              <w:rPr>
                <w:sz w:val="16"/>
                <w:szCs w:val="16"/>
                <w:vertAlign w:val="subscript"/>
              </w:rPr>
              <w:t>14</w:t>
            </w:r>
            <w:r w:rsidRPr="00B50277">
              <w:rPr>
                <w:sz w:val="16"/>
                <w:szCs w:val="16"/>
              </w:rPr>
              <w:t>H</w:t>
            </w:r>
            <w:r w:rsidRPr="00B50277">
              <w:rPr>
                <w:sz w:val="16"/>
                <w:szCs w:val="16"/>
                <w:vertAlign w:val="subscript"/>
              </w:rPr>
              <w:t>10</w:t>
            </w:r>
            <w:r w:rsidRPr="00B50277">
              <w:rPr>
                <w:sz w:val="16"/>
                <w:szCs w:val="16"/>
              </w:rPr>
              <w:t>O</w:t>
            </w:r>
            <w:r w:rsidRPr="00B50277">
              <w:rPr>
                <w:sz w:val="16"/>
                <w:szCs w:val="16"/>
                <w:vertAlign w:val="subscript"/>
              </w:rPr>
              <w:t>4</w:t>
            </w:r>
            <w:r w:rsidRPr="00B50277">
              <w:rPr>
                <w:sz w:val="16"/>
                <w:szCs w:val="16"/>
              </w:rPr>
              <w:t xml:space="preserve"> (s)</w:t>
            </w:r>
          </w:p>
        </w:tc>
        <w:tc>
          <w:tcPr>
            <w:tcW w:w="1559" w:type="dxa"/>
            <w:tcBorders>
              <w:left w:val="nil"/>
              <w:bottom w:val="single" w:sz="4" w:space="0" w:color="auto"/>
            </w:tcBorders>
          </w:tcPr>
          <w:p w:rsidR="00894899" w:rsidRPr="00B50277" w:rsidRDefault="00894899" w:rsidP="009971A9">
            <w:pPr>
              <w:rPr>
                <w:sz w:val="16"/>
                <w:szCs w:val="16"/>
              </w:rPr>
            </w:pPr>
            <w:r w:rsidRPr="00B50277">
              <w:rPr>
                <w:sz w:val="16"/>
                <w:szCs w:val="16"/>
              </w:rPr>
              <w:t>-540</w:t>
            </w:r>
          </w:p>
        </w:tc>
        <w:tc>
          <w:tcPr>
            <w:tcW w:w="1843" w:type="dxa"/>
            <w:tcBorders>
              <w:bottom w:val="single" w:sz="4" w:space="0" w:color="auto"/>
              <w:right w:val="nil"/>
            </w:tcBorders>
          </w:tcPr>
          <w:p w:rsidR="00894899" w:rsidRPr="00B50277" w:rsidRDefault="00894899" w:rsidP="009971A9">
            <w:pPr>
              <w:rPr>
                <w:sz w:val="16"/>
                <w:szCs w:val="16"/>
              </w:rPr>
            </w:pPr>
            <w:r w:rsidRPr="00B50277">
              <w:rPr>
                <w:sz w:val="16"/>
                <w:szCs w:val="16"/>
              </w:rPr>
              <w:t>CO</w:t>
            </w:r>
            <w:r w:rsidRPr="00B50277">
              <w:rPr>
                <w:sz w:val="16"/>
                <w:szCs w:val="16"/>
                <w:vertAlign w:val="subscript"/>
              </w:rPr>
              <w:t>2</w:t>
            </w:r>
            <w:r w:rsidRPr="00B50277">
              <w:rPr>
                <w:sz w:val="16"/>
                <w:szCs w:val="16"/>
              </w:rPr>
              <w:t xml:space="preserve"> (g)</w:t>
            </w:r>
          </w:p>
        </w:tc>
        <w:tc>
          <w:tcPr>
            <w:tcW w:w="2583" w:type="dxa"/>
            <w:tcBorders>
              <w:left w:val="nil"/>
              <w:bottom w:val="single" w:sz="4" w:space="0" w:color="auto"/>
            </w:tcBorders>
          </w:tcPr>
          <w:p w:rsidR="00894899" w:rsidRPr="00B50277" w:rsidRDefault="00894899" w:rsidP="009971A9">
            <w:pPr>
              <w:rPr>
                <w:sz w:val="16"/>
                <w:szCs w:val="16"/>
              </w:rPr>
            </w:pPr>
            <w:r w:rsidRPr="00B50277">
              <w:rPr>
                <w:sz w:val="16"/>
                <w:szCs w:val="16"/>
              </w:rPr>
              <w:t>-394</w:t>
            </w:r>
          </w:p>
        </w:tc>
      </w:tr>
      <w:tr w:rsidR="00894899" w:rsidRPr="00B50277" w:rsidTr="009971A9">
        <w:tc>
          <w:tcPr>
            <w:tcW w:w="3227" w:type="dxa"/>
            <w:tcBorders>
              <w:right w:val="nil"/>
            </w:tcBorders>
          </w:tcPr>
          <w:p w:rsidR="00894899" w:rsidRPr="00B50277" w:rsidRDefault="00894899" w:rsidP="009971A9">
            <w:pPr>
              <w:rPr>
                <w:sz w:val="16"/>
                <w:szCs w:val="16"/>
              </w:rPr>
            </w:pPr>
            <w:r w:rsidRPr="00B50277">
              <w:rPr>
                <w:sz w:val="16"/>
                <w:szCs w:val="16"/>
              </w:rPr>
              <w:t>H</w:t>
            </w:r>
            <w:r w:rsidRPr="00B50277">
              <w:rPr>
                <w:sz w:val="16"/>
                <w:szCs w:val="16"/>
                <w:vertAlign w:val="subscript"/>
              </w:rPr>
              <w:t>2</w:t>
            </w:r>
            <w:r w:rsidRPr="00B50277">
              <w:rPr>
                <w:sz w:val="16"/>
                <w:szCs w:val="16"/>
              </w:rPr>
              <w:t>O (l)</w:t>
            </w:r>
          </w:p>
        </w:tc>
        <w:tc>
          <w:tcPr>
            <w:tcW w:w="1559" w:type="dxa"/>
            <w:tcBorders>
              <w:left w:val="nil"/>
            </w:tcBorders>
          </w:tcPr>
          <w:p w:rsidR="00894899" w:rsidRPr="00B50277" w:rsidRDefault="00894899" w:rsidP="009971A9">
            <w:pPr>
              <w:rPr>
                <w:sz w:val="16"/>
                <w:szCs w:val="16"/>
              </w:rPr>
            </w:pPr>
            <w:r w:rsidRPr="00B50277">
              <w:rPr>
                <w:sz w:val="16"/>
                <w:szCs w:val="16"/>
              </w:rPr>
              <w:t>-188</w:t>
            </w:r>
          </w:p>
        </w:tc>
        <w:tc>
          <w:tcPr>
            <w:tcW w:w="1843" w:type="dxa"/>
            <w:tcBorders>
              <w:right w:val="nil"/>
            </w:tcBorders>
          </w:tcPr>
          <w:p w:rsidR="00894899" w:rsidRPr="00B50277" w:rsidRDefault="00894899" w:rsidP="009971A9">
            <w:pPr>
              <w:rPr>
                <w:sz w:val="16"/>
                <w:szCs w:val="16"/>
              </w:rPr>
            </w:pPr>
            <w:r w:rsidRPr="00B50277">
              <w:rPr>
                <w:sz w:val="16"/>
                <w:szCs w:val="16"/>
              </w:rPr>
              <w:t>Phenol C</w:t>
            </w:r>
            <w:r w:rsidRPr="00B50277">
              <w:rPr>
                <w:sz w:val="16"/>
                <w:szCs w:val="16"/>
                <w:vertAlign w:val="subscript"/>
              </w:rPr>
              <w:t>6</w:t>
            </w:r>
            <w:r w:rsidRPr="00B50277">
              <w:rPr>
                <w:sz w:val="16"/>
                <w:szCs w:val="16"/>
              </w:rPr>
              <w:t>H</w:t>
            </w:r>
            <w:r w:rsidRPr="00B50277">
              <w:rPr>
                <w:sz w:val="16"/>
                <w:szCs w:val="16"/>
                <w:vertAlign w:val="subscript"/>
              </w:rPr>
              <w:t>5</w:t>
            </w:r>
            <w:r w:rsidRPr="00B50277">
              <w:rPr>
                <w:sz w:val="16"/>
                <w:szCs w:val="16"/>
              </w:rPr>
              <w:t>OH</w:t>
            </w:r>
          </w:p>
        </w:tc>
        <w:tc>
          <w:tcPr>
            <w:tcW w:w="2583" w:type="dxa"/>
            <w:tcBorders>
              <w:left w:val="nil"/>
            </w:tcBorders>
          </w:tcPr>
          <w:p w:rsidR="00894899" w:rsidRPr="00B50277" w:rsidRDefault="00894899" w:rsidP="009971A9">
            <w:pPr>
              <w:rPr>
                <w:sz w:val="16"/>
                <w:szCs w:val="16"/>
              </w:rPr>
            </w:pPr>
            <w:r w:rsidRPr="00B50277">
              <w:rPr>
                <w:sz w:val="16"/>
                <w:szCs w:val="16"/>
              </w:rPr>
              <w:t>-165</w:t>
            </w:r>
          </w:p>
        </w:tc>
      </w:tr>
    </w:tbl>
    <w:p w:rsidR="00894899" w:rsidRPr="00B50277" w:rsidRDefault="00894899" w:rsidP="00894899">
      <w:pPr>
        <w:rPr>
          <w:sz w:val="16"/>
          <w:szCs w:val="16"/>
        </w:rPr>
      </w:pPr>
    </w:p>
    <w:p w:rsidR="00894899" w:rsidRPr="00B50277" w:rsidRDefault="00894899" w:rsidP="00894899">
      <w:pPr>
        <w:rPr>
          <w:sz w:val="16"/>
          <w:szCs w:val="16"/>
        </w:rPr>
      </w:pPr>
      <w:r w:rsidRPr="00B50277">
        <w:rPr>
          <w:sz w:val="16"/>
          <w:szCs w:val="16"/>
        </w:rPr>
        <w:t xml:space="preserve">Reaktionsenthalpie </w:t>
      </w:r>
      <w:r w:rsidRPr="00B50277">
        <w:rPr>
          <w:rFonts w:ascii="Symbol" w:hAnsi="Symbol"/>
          <w:sz w:val="16"/>
          <w:szCs w:val="16"/>
        </w:rPr>
        <w:t></w:t>
      </w:r>
      <w:r w:rsidRPr="00B50277">
        <w:rPr>
          <w:sz w:val="16"/>
          <w:szCs w:val="16"/>
          <w:vertAlign w:val="subscript"/>
        </w:rPr>
        <w:t>r</w:t>
      </w:r>
      <w:r w:rsidRPr="00B50277">
        <w:rPr>
          <w:sz w:val="16"/>
          <w:szCs w:val="16"/>
        </w:rPr>
        <w:t xml:space="preserve">H° = </w:t>
      </w:r>
      <w:r w:rsidRPr="00B50277">
        <w:rPr>
          <w:rFonts w:ascii="Symbol" w:hAnsi="Symbol"/>
          <w:sz w:val="16"/>
          <w:szCs w:val="16"/>
        </w:rPr>
        <w:t></w:t>
      </w:r>
      <w:r w:rsidRPr="00B50277">
        <w:rPr>
          <w:rFonts w:ascii="Symbol" w:hAnsi="Symbol"/>
          <w:sz w:val="16"/>
          <w:szCs w:val="16"/>
        </w:rPr>
        <w:t></w:t>
      </w:r>
      <w:r w:rsidRPr="00B50277">
        <w:rPr>
          <w:sz w:val="16"/>
          <w:szCs w:val="16"/>
          <w:vertAlign w:val="subscript"/>
        </w:rPr>
        <w:t>f</w:t>
      </w:r>
      <w:r w:rsidRPr="00B50277">
        <w:rPr>
          <w:sz w:val="16"/>
          <w:szCs w:val="16"/>
        </w:rPr>
        <w:t xml:space="preserve">H° (Produkte) - </w:t>
      </w:r>
      <w:r w:rsidRPr="00B50277">
        <w:rPr>
          <w:rFonts w:ascii="Symbol" w:hAnsi="Symbol"/>
          <w:sz w:val="16"/>
          <w:szCs w:val="16"/>
        </w:rPr>
        <w:t></w:t>
      </w:r>
      <w:r w:rsidRPr="00B50277">
        <w:rPr>
          <w:rFonts w:ascii="Symbol" w:hAnsi="Symbol"/>
          <w:sz w:val="16"/>
          <w:szCs w:val="16"/>
        </w:rPr>
        <w:t></w:t>
      </w:r>
      <w:r w:rsidRPr="00B50277">
        <w:rPr>
          <w:sz w:val="16"/>
          <w:szCs w:val="16"/>
          <w:vertAlign w:val="subscript"/>
        </w:rPr>
        <w:t>f</w:t>
      </w:r>
      <w:r w:rsidRPr="00B50277">
        <w:rPr>
          <w:sz w:val="16"/>
          <w:szCs w:val="16"/>
        </w:rPr>
        <w:t xml:space="preserve">H° (Edukte) = -394 kJ </w:t>
      </w:r>
      <w:r w:rsidRPr="00B50277">
        <w:rPr>
          <w:sz w:val="16"/>
          <w:szCs w:val="16"/>
        </w:rPr>
        <w:sym w:font="Symbol" w:char="F0D7"/>
      </w:r>
      <w:r w:rsidRPr="00B50277">
        <w:rPr>
          <w:sz w:val="16"/>
          <w:szCs w:val="16"/>
        </w:rPr>
        <w:t xml:space="preserve"> mol</w:t>
      </w:r>
      <w:r w:rsidRPr="00B50277">
        <w:rPr>
          <w:sz w:val="16"/>
          <w:szCs w:val="16"/>
          <w:vertAlign w:val="superscript"/>
        </w:rPr>
        <w:t>-1</w:t>
      </w:r>
    </w:p>
    <w:p w:rsidR="00CD67C4" w:rsidRDefault="00CD67C4" w:rsidP="00CD67C4">
      <w:pPr>
        <w:rPr>
          <w:sz w:val="16"/>
          <w:szCs w:val="16"/>
        </w:rPr>
      </w:pPr>
    </w:p>
    <w:p w:rsidR="00CD67C4" w:rsidRPr="00CB7814" w:rsidRDefault="00CD67C4" w:rsidP="00CD67C4">
      <w:pPr>
        <w:rPr>
          <w:sz w:val="16"/>
          <w:szCs w:val="16"/>
        </w:rPr>
      </w:pPr>
    </w:p>
    <w:p w:rsidR="00894899" w:rsidRPr="00B52D40" w:rsidRDefault="00894899" w:rsidP="00894899">
      <w:pPr>
        <w:pStyle w:val="Listenabsatz"/>
        <w:numPr>
          <w:ilvl w:val="0"/>
          <w:numId w:val="1"/>
        </w:numPr>
        <w:ind w:left="426" w:hanging="426"/>
        <w:rPr>
          <w:b/>
        </w:rPr>
      </w:pPr>
      <w:r>
        <w:rPr>
          <w:b/>
        </w:rPr>
        <w:t>Chemil</w:t>
      </w:r>
      <w:r w:rsidRPr="00B52D40">
        <w:rPr>
          <w:b/>
        </w:rPr>
        <w:t>umineszenz anderer Farbstoffe</w:t>
      </w:r>
    </w:p>
    <w:p w:rsidR="00894899" w:rsidRPr="00491DA5" w:rsidRDefault="00894899" w:rsidP="00894899">
      <w:r w:rsidRPr="00491DA5">
        <w:t>Ein</w:t>
      </w:r>
      <w:r w:rsidR="00CD67C4">
        <w:t xml:space="preserve"> weisser</w:t>
      </w:r>
      <w:r>
        <w:t xml:space="preserve"> Leuchtstab wird geöffnet und die Lösung in ein RG gegeben. Eine </w:t>
      </w:r>
      <w:r w:rsidRPr="00491DA5">
        <w:t xml:space="preserve">Lösung von </w:t>
      </w:r>
      <w:r>
        <w:t>Chlorophyll in Aceton herstellen und zugeben</w:t>
      </w:r>
      <w:r w:rsidRPr="00491DA5">
        <w:t>.</w:t>
      </w:r>
    </w:p>
    <w:p w:rsidR="00894899" w:rsidRDefault="00894899" w:rsidP="00894899">
      <w:pPr>
        <w:rPr>
          <w:sz w:val="16"/>
          <w:szCs w:val="16"/>
        </w:rPr>
      </w:pPr>
    </w:p>
    <w:p w:rsidR="00CD67C4" w:rsidRPr="00CB7814" w:rsidRDefault="00CD67C4" w:rsidP="00894899">
      <w:pPr>
        <w:rPr>
          <w:sz w:val="16"/>
          <w:szCs w:val="16"/>
        </w:rPr>
      </w:pPr>
    </w:p>
    <w:p w:rsidR="00894899" w:rsidRPr="00456247" w:rsidRDefault="00894899" w:rsidP="00894899">
      <w:pPr>
        <w:pStyle w:val="Listenabsatz"/>
        <w:numPr>
          <w:ilvl w:val="0"/>
          <w:numId w:val="1"/>
        </w:numPr>
        <w:ind w:left="426" w:hanging="426"/>
        <w:rPr>
          <w:b/>
        </w:rPr>
      </w:pPr>
      <w:r>
        <w:rPr>
          <w:b/>
        </w:rPr>
        <w:t>Fluores</w:t>
      </w:r>
      <w:r w:rsidRPr="00456247">
        <w:rPr>
          <w:b/>
        </w:rPr>
        <w:t xml:space="preserve">zenz </w:t>
      </w:r>
    </w:p>
    <w:p w:rsidR="00894899" w:rsidRPr="00CB7814" w:rsidRDefault="00894899" w:rsidP="00894899">
      <w:pPr>
        <w:rPr>
          <w:sz w:val="16"/>
          <w:szCs w:val="16"/>
        </w:rPr>
      </w:pPr>
      <w:r>
        <w:t xml:space="preserve">Die </w:t>
      </w:r>
      <w:r w:rsidR="00CD67C4">
        <w:t>Farbstoffe</w:t>
      </w:r>
      <w:r>
        <w:t xml:space="preserve"> in Leuchtstäben</w:t>
      </w:r>
      <w:r w:rsidR="00CD67C4">
        <w:t xml:space="preserve"> leuchten auch, wenn sie von Lichtenergie (meist UV) angeregt werden (</w:t>
      </w:r>
      <w:r>
        <w:t>Fluoreszenz</w:t>
      </w:r>
      <w:r w:rsidR="00CD67C4">
        <w:t>) statt mit chemischer Energie (Chemilumineszenz)</w:t>
      </w:r>
      <w:r>
        <w:t xml:space="preserve">. </w:t>
      </w:r>
      <w:r w:rsidR="00CD67C4">
        <w:t>Die</w:t>
      </w:r>
      <w:r w:rsidRPr="002A39BB">
        <w:t xml:space="preserve"> angeregte</w:t>
      </w:r>
      <w:r w:rsidR="00CD67C4">
        <w:t>n</w:t>
      </w:r>
      <w:r w:rsidRPr="002A39BB">
        <w:t xml:space="preserve"> </w:t>
      </w:r>
      <w:r w:rsidR="00CD67C4">
        <w:t>Farbstoffm</w:t>
      </w:r>
      <w:r w:rsidRPr="002A39BB">
        <w:t>olekül</w:t>
      </w:r>
      <w:r w:rsidR="00CD67C4">
        <w:t>e</w:t>
      </w:r>
      <w:r w:rsidRPr="002A39BB">
        <w:t xml:space="preserve"> </w:t>
      </w:r>
      <w:r w:rsidR="00CD67C4">
        <w:t>geben dann</w:t>
      </w:r>
      <w:r w:rsidRPr="002A39BB">
        <w:t xml:space="preserve"> Photon</w:t>
      </w:r>
      <w:r w:rsidR="00CD67C4">
        <w:t>en</w:t>
      </w:r>
      <w:r w:rsidRPr="002A39BB">
        <w:t xml:space="preserve"> ab und</w:t>
      </w:r>
      <w:r w:rsidR="00CD67C4">
        <w:t xml:space="preserve"> relaxieren</w:t>
      </w:r>
      <w:r>
        <w:t xml:space="preserve"> auf den Grundzustand. </w:t>
      </w:r>
    </w:p>
    <w:p w:rsidR="00894899" w:rsidRDefault="00894899" w:rsidP="00894899">
      <w:pPr>
        <w:rPr>
          <w:rFonts w:cstheme="minorHAnsi"/>
        </w:rPr>
      </w:pPr>
      <w:r>
        <w:rPr>
          <w:rFonts w:cstheme="minorHAnsi"/>
        </w:rPr>
        <w:t>Beleuchte die Chlorophyll</w:t>
      </w:r>
      <w:r w:rsidRPr="003C4464">
        <w:rPr>
          <w:rFonts w:cstheme="minorHAnsi"/>
        </w:rPr>
        <w:t xml:space="preserve">lösung in Aceton mit UV-Licht. Vergleiche mit dem Versuch oben. </w:t>
      </w:r>
    </w:p>
    <w:p w:rsidR="00B50277" w:rsidRDefault="00B50277">
      <w:pPr>
        <w:spacing w:after="200" w:line="276" w:lineRule="auto"/>
      </w:pPr>
      <w:r>
        <w:br w:type="page"/>
      </w:r>
    </w:p>
    <w:p w:rsidR="00894899" w:rsidRPr="00894899" w:rsidRDefault="00894899" w:rsidP="00B50277">
      <w:pPr>
        <w:pStyle w:val="KeinLeerraum"/>
        <w:rPr>
          <w:b/>
        </w:rPr>
      </w:pPr>
      <w:r w:rsidRPr="00894899">
        <w:rPr>
          <w:b/>
        </w:rPr>
        <w:lastRenderedPageBreak/>
        <w:t xml:space="preserve">Die </w:t>
      </w:r>
      <w:r w:rsidR="00B50277">
        <w:rPr>
          <w:b/>
        </w:rPr>
        <w:t>S</w:t>
      </w:r>
      <w:r w:rsidRPr="00894899">
        <w:rPr>
          <w:b/>
        </w:rPr>
        <w:t>chritte</w:t>
      </w:r>
      <w:r w:rsidR="00B50277">
        <w:rPr>
          <w:b/>
        </w:rPr>
        <w:t xml:space="preserve"> der Leuchstabreaktion</w:t>
      </w:r>
    </w:p>
    <w:p w:rsidR="00894899" w:rsidRDefault="00894899" w:rsidP="002C34C7">
      <w:pPr>
        <w:pStyle w:val="KeinLeerraum"/>
        <w:numPr>
          <w:ilvl w:val="0"/>
          <w:numId w:val="3"/>
        </w:numPr>
        <w:spacing w:before="60"/>
        <w:ind w:left="284" w:hanging="284"/>
      </w:pPr>
      <w:r>
        <w:t xml:space="preserve">Ein Oxalatester </w:t>
      </w:r>
      <w:r w:rsidRPr="006C6E1E">
        <w:rPr>
          <w:b/>
        </w:rPr>
        <w:t>A</w:t>
      </w:r>
      <w:r>
        <w:t xml:space="preserve"> wird mit H</w:t>
      </w:r>
      <w:r w:rsidRPr="006C6E1E">
        <w:rPr>
          <w:vertAlign w:val="subscript"/>
        </w:rPr>
        <w:t>2</w:t>
      </w:r>
      <w:r>
        <w:t>O</w:t>
      </w:r>
      <w:r w:rsidRPr="006C6E1E">
        <w:rPr>
          <w:vertAlign w:val="subscript"/>
        </w:rPr>
        <w:t>2</w:t>
      </w:r>
      <w:r>
        <w:t xml:space="preserve"> zersetzt und ein reaktives CO</w:t>
      </w:r>
      <w:r w:rsidRPr="006C6E1E">
        <w:rPr>
          <w:vertAlign w:val="subscript"/>
        </w:rPr>
        <w:t>2</w:t>
      </w:r>
      <w:r>
        <w:t xml:space="preserve">-Dimer </w:t>
      </w:r>
      <w:r w:rsidRPr="006C6E1E">
        <w:rPr>
          <w:b/>
        </w:rPr>
        <w:t>B</w:t>
      </w:r>
      <w:r>
        <w:t xml:space="preserve"> entsteht.</w:t>
      </w:r>
    </w:p>
    <w:p w:rsidR="00894899" w:rsidRPr="00894899" w:rsidRDefault="00894899" w:rsidP="002C34C7">
      <w:pPr>
        <w:pStyle w:val="KeinLeerraum"/>
        <w:numPr>
          <w:ilvl w:val="0"/>
          <w:numId w:val="3"/>
        </w:numPr>
        <w:spacing w:before="60"/>
        <w:ind w:left="284" w:hanging="284"/>
      </w:pPr>
      <w:r w:rsidRPr="006C6E1E">
        <w:rPr>
          <w:b/>
        </w:rPr>
        <w:t>B</w:t>
      </w:r>
      <w:r>
        <w:rPr>
          <w:b/>
        </w:rPr>
        <w:t xml:space="preserve"> </w:t>
      </w:r>
      <w:r w:rsidRPr="006C6E1E">
        <w:t xml:space="preserve">zerfällt und gibt </w:t>
      </w:r>
      <w:r>
        <w:t>einen Teil der Reak</w:t>
      </w:r>
      <w:r>
        <w:softHyphen/>
        <w:t xml:space="preserve">tionsenergie an ein Farbstoffmolekül </w:t>
      </w:r>
      <w:r>
        <w:rPr>
          <w:b/>
        </w:rPr>
        <w:t>F</w:t>
      </w:r>
      <w:r>
        <w:t xml:space="preserve">. Es wird angeregt: </w:t>
      </w:r>
      <w:r>
        <w:rPr>
          <w:b/>
        </w:rPr>
        <w:t>F</w:t>
      </w:r>
      <w:r w:rsidRPr="006C6E1E">
        <w:rPr>
          <w:b/>
        </w:rPr>
        <w:t>*</w:t>
      </w:r>
    </w:p>
    <w:p w:rsidR="00894899" w:rsidRDefault="00894899" w:rsidP="002C34C7">
      <w:pPr>
        <w:pStyle w:val="KeinLeerraum"/>
        <w:numPr>
          <w:ilvl w:val="0"/>
          <w:numId w:val="3"/>
        </w:numPr>
        <w:spacing w:before="60"/>
        <w:ind w:left="284" w:hanging="284"/>
      </w:pPr>
      <w:r>
        <w:t xml:space="preserve">Das angeregte Farbstoffmolekül </w:t>
      </w:r>
      <w:r w:rsidRPr="00894899">
        <w:rPr>
          <w:b/>
        </w:rPr>
        <w:t xml:space="preserve">F* </w:t>
      </w:r>
      <w:r w:rsidRPr="006E0D73">
        <w:t>gibt die über</w:t>
      </w:r>
      <w:r>
        <w:softHyphen/>
      </w:r>
      <w:r w:rsidRPr="006E0D73">
        <w:t>schüssige Energie als Licht ab: Photon h</w:t>
      </w:r>
      <w:r w:rsidRPr="00894899">
        <w:rPr>
          <w:rFonts w:ascii="Symbol" w:hAnsi="Symbol"/>
        </w:rPr>
        <w:t></w:t>
      </w:r>
      <w:r>
        <w:t>.</w:t>
      </w:r>
    </w:p>
    <w:p w:rsidR="00894899" w:rsidRPr="002C34C7" w:rsidRDefault="00894899" w:rsidP="00894899">
      <w:pPr>
        <w:pStyle w:val="KeinLeerraum"/>
        <w:spacing w:before="60"/>
        <w:ind w:left="284"/>
        <w:rPr>
          <w:sz w:val="8"/>
          <w:szCs w:val="8"/>
        </w:rPr>
      </w:pPr>
    </w:p>
    <w:p w:rsidR="00894899" w:rsidRDefault="00B50277" w:rsidP="00894899">
      <w:pPr>
        <w:pStyle w:val="KeinLeerraum"/>
        <w:spacing w:before="60"/>
      </w:pPr>
      <w:r>
        <w:object w:dxaOrig="8428" w:dyaOrig="63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67.75pt" o:ole="">
            <v:imagedata r:id="rId9" o:title=""/>
          </v:shape>
          <o:OLEObject Type="Embed" ProgID="ChemDraw.Document.6.0" ShapeID="_x0000_i1025" DrawAspect="Content" ObjectID="_1411326722" r:id="rId10"/>
        </w:object>
      </w:r>
    </w:p>
    <w:p w:rsidR="007D5F59" w:rsidRPr="00CB7814" w:rsidRDefault="007D5F59" w:rsidP="002C0555"/>
    <w:p w:rsidR="00293D41" w:rsidRDefault="00CB7814" w:rsidP="002C0555">
      <w:pPr>
        <w:rPr>
          <w:b/>
        </w:rPr>
      </w:pPr>
      <w:r>
        <w:rPr>
          <w:b/>
        </w:rPr>
        <w:t>Energ</w:t>
      </w:r>
      <w:r w:rsidR="00666CC1" w:rsidRPr="00882744">
        <w:rPr>
          <w:b/>
        </w:rPr>
        <w:t>ien</w:t>
      </w:r>
      <w:r w:rsidR="00B50277">
        <w:rPr>
          <w:b/>
        </w:rPr>
        <w:t>iveaudiagramm möglicher Energie</w:t>
      </w:r>
      <w:r w:rsidR="00666CC1" w:rsidRPr="00882744">
        <w:rPr>
          <w:b/>
        </w:rPr>
        <w:t>übergänge in der Leuchtstabreaktion</w:t>
      </w:r>
    </w:p>
    <w:p w:rsidR="006E0D73" w:rsidRPr="006E0D73" w:rsidRDefault="006E0D73" w:rsidP="006E0D73">
      <w:pPr>
        <w:rPr>
          <w:sz w:val="8"/>
          <w:szCs w:val="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63"/>
        <w:gridCol w:w="4525"/>
      </w:tblGrid>
      <w:tr w:rsidR="00245816" w:rsidTr="00CB7814">
        <w:tc>
          <w:tcPr>
            <w:tcW w:w="4763" w:type="dxa"/>
          </w:tcPr>
          <w:p w:rsidR="00245816" w:rsidRDefault="00245816" w:rsidP="00245816">
            <w:r>
              <w:t>Das Molekül wird durch die chemische Reaktion vom Grundzustand S</w:t>
            </w:r>
            <w:r w:rsidRPr="00245816">
              <w:rPr>
                <w:vertAlign w:val="subscript"/>
              </w:rPr>
              <w:t>0</w:t>
            </w:r>
            <w:r>
              <w:t xml:space="preserve"> in den ersten angeregten Zustand S</w:t>
            </w:r>
            <w:r w:rsidRPr="00245816">
              <w:rPr>
                <w:vertAlign w:val="subscript"/>
              </w:rPr>
              <w:t>1</w:t>
            </w:r>
            <w:r>
              <w:t xml:space="preserve"> befördert (Excitation). Es kann auf verschiedene</w:t>
            </w:r>
            <w:r w:rsidR="00666CC1">
              <w:t>n</w:t>
            </w:r>
            <w:r>
              <w:t xml:space="preserve"> Vibrationsniveau</w:t>
            </w:r>
            <w:r w:rsidR="00666CC1">
              <w:t>s</w:t>
            </w:r>
            <w:r>
              <w:t xml:space="preserve"> landen, relaxiert (entspannt)</w:t>
            </w:r>
            <w:r w:rsidR="00270014">
              <w:t xml:space="preserve"> </w:t>
            </w:r>
            <w:r>
              <w:t>aber schnell auf das tiefste Niveau.</w:t>
            </w:r>
          </w:p>
          <w:p w:rsidR="00245816" w:rsidRDefault="00245816" w:rsidP="00270014">
            <w:r>
              <w:t xml:space="preserve">Von dort </w:t>
            </w:r>
            <w:r w:rsidR="00882744">
              <w:t>kann es unter Abgabe eines Photons (Lumineszenz) wieder auf S</w:t>
            </w:r>
            <w:r w:rsidR="00882744" w:rsidRPr="00882744">
              <w:rPr>
                <w:vertAlign w:val="subscript"/>
              </w:rPr>
              <w:t>0</w:t>
            </w:r>
            <w:r w:rsidR="00882744">
              <w:t xml:space="preserve"> zurückfallen. Oder es kann durch innere Konversion </w:t>
            </w:r>
            <w:r w:rsidR="00270014">
              <w:t>in ein sehr hohes Vibrationsniveau von S</w:t>
            </w:r>
            <w:r w:rsidR="00270014" w:rsidRPr="00270014">
              <w:rPr>
                <w:vertAlign w:val="subscript"/>
              </w:rPr>
              <w:t>1</w:t>
            </w:r>
            <w:r w:rsidR="00270014">
              <w:t xml:space="preserve"> übergehen und </w:t>
            </w:r>
            <w:r w:rsidR="00882744">
              <w:t>alle Energie als Wärme abgeben (Vibrationsrelaxation)</w:t>
            </w:r>
            <w:r w:rsidR="00666CC1">
              <w:t>.</w:t>
            </w:r>
          </w:p>
        </w:tc>
        <w:tc>
          <w:tcPr>
            <w:tcW w:w="4525" w:type="dxa"/>
          </w:tcPr>
          <w:p w:rsidR="00245816" w:rsidRDefault="002C34C7" w:rsidP="002C0555">
            <w:r>
              <w:object w:dxaOrig="4137" w:dyaOrig="3547">
                <v:shape id="_x0000_i1026" type="#_x0000_t75" style="width:205.15pt;height:178.5pt" o:ole="">
                  <v:imagedata r:id="rId11" o:title=""/>
                </v:shape>
                <o:OLEObject Type="Embed" ProgID="ChemDraw.Document.6.0" ShapeID="_x0000_i1026" DrawAspect="Content" ObjectID="_1411326723" r:id="rId12"/>
              </w:object>
            </w:r>
          </w:p>
        </w:tc>
      </w:tr>
    </w:tbl>
    <w:p w:rsidR="00894899" w:rsidRDefault="00894899" w:rsidP="00101E8D">
      <w:pPr>
        <w:rPr>
          <w:rFonts w:cstheme="minorHAnsi"/>
        </w:rPr>
      </w:pPr>
    </w:p>
    <w:p w:rsidR="00894899" w:rsidRPr="00894899" w:rsidRDefault="00B50277" w:rsidP="00101E8D">
      <w:pPr>
        <w:rPr>
          <w:rFonts w:cstheme="minorHAnsi"/>
          <w:b/>
        </w:rPr>
      </w:pPr>
      <w:r>
        <w:rPr>
          <w:rFonts w:cstheme="minorHAnsi"/>
          <w:b/>
        </w:rPr>
        <w:t>Präzisierung: Substituenten am</w:t>
      </w:r>
      <w:r w:rsidR="00894899" w:rsidRPr="00894899">
        <w:rPr>
          <w:rFonts w:cstheme="minorHAnsi"/>
          <w:b/>
        </w:rPr>
        <w:t xml:space="preserve"> Oxalatester</w:t>
      </w:r>
    </w:p>
    <w:tbl>
      <w:tblPr>
        <w:tblStyle w:val="Tabellenraster"/>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4"/>
      </w:tblGrid>
      <w:tr w:rsidR="00894899" w:rsidTr="009971A9">
        <w:trPr>
          <w:jc w:val="right"/>
        </w:trPr>
        <w:tc>
          <w:tcPr>
            <w:tcW w:w="4644" w:type="dxa"/>
          </w:tcPr>
          <w:p w:rsidR="00894899" w:rsidRDefault="00894899" w:rsidP="009971A9">
            <w:r>
              <w:t>Produkte mit substituierten Phenylresten sind weniger toxisch, so werden Bis(2,4,6-tri</w:t>
            </w:r>
            <w:r>
              <w:softHyphen/>
              <w:t>chlor</w:t>
            </w:r>
            <w:r>
              <w:softHyphen/>
              <w:t>phenyl)-oxalat (TCPO) oder Bis(2,4,5-tri</w:t>
            </w:r>
            <w:r>
              <w:softHyphen/>
              <w:t>chlor-6-carbopentoxyphenyl)-oxalat (CPPO) verwendet.</w:t>
            </w:r>
          </w:p>
        </w:tc>
        <w:tc>
          <w:tcPr>
            <w:tcW w:w="4644" w:type="dxa"/>
          </w:tcPr>
          <w:p w:rsidR="00894899" w:rsidRDefault="00B50277" w:rsidP="009971A9">
            <w:r>
              <w:object w:dxaOrig="4343" w:dyaOrig="1389">
                <v:shape id="_x0000_i1027" type="#_x0000_t75" style="width:217.5pt;height:69.75pt" o:ole="">
                  <v:imagedata r:id="rId13" o:title=""/>
                </v:shape>
                <o:OLEObject Type="Embed" ProgID="ChemDraw.Document.6.0" ShapeID="_x0000_i1027" DrawAspect="Content" ObjectID="_1411326724" r:id="rId14"/>
              </w:object>
            </w:r>
          </w:p>
        </w:tc>
      </w:tr>
    </w:tbl>
    <w:p w:rsidR="007D5F59" w:rsidRDefault="007D5F59" w:rsidP="00101E8D">
      <w:pPr>
        <w:rPr>
          <w:rFonts w:cstheme="minorHAnsi"/>
        </w:rPr>
      </w:pPr>
    </w:p>
    <w:p w:rsidR="00CB7814" w:rsidRPr="00992913" w:rsidRDefault="00992913" w:rsidP="00992913">
      <w:pPr>
        <w:rPr>
          <w:sz w:val="16"/>
          <w:szCs w:val="16"/>
          <w:lang w:val="en-GB"/>
        </w:rPr>
      </w:pPr>
      <w:r>
        <w:rPr>
          <w:sz w:val="16"/>
          <w:szCs w:val="16"/>
          <w:lang w:val="en-GB"/>
        </w:rPr>
        <w:t xml:space="preserve">Quellen: </w:t>
      </w:r>
      <w:bookmarkStart w:id="0" w:name="_GoBack"/>
      <w:bookmarkEnd w:id="0"/>
      <w:r w:rsidR="007D5F59" w:rsidRPr="007D5F59">
        <w:rPr>
          <w:sz w:val="16"/>
          <w:szCs w:val="16"/>
          <w:lang w:val="en-GB"/>
        </w:rPr>
        <w:t>Thomas Scott Kuntzleman et al., The Chemistry of Lightstick</w:t>
      </w:r>
      <w:r w:rsidR="007D5F59">
        <w:rPr>
          <w:sz w:val="16"/>
          <w:szCs w:val="16"/>
          <w:lang w:val="en-GB"/>
        </w:rPr>
        <w:t>s</w:t>
      </w:r>
      <w:r w:rsidR="007D5F59" w:rsidRPr="007D5F59">
        <w:rPr>
          <w:sz w:val="16"/>
          <w:szCs w:val="16"/>
          <w:lang w:val="en-GB"/>
        </w:rPr>
        <w:t>, J. Chem. Educ. 2012, 89, 910−916</w:t>
      </w:r>
    </w:p>
    <w:sectPr w:rsidR="00CB7814" w:rsidRPr="00992913" w:rsidSect="0074407C">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9F6" w:rsidRDefault="000219F6" w:rsidP="0074407C">
      <w:pPr>
        <w:spacing w:line="240" w:lineRule="auto"/>
      </w:pPr>
      <w:r>
        <w:separator/>
      </w:r>
    </w:p>
  </w:endnote>
  <w:endnote w:type="continuationSeparator" w:id="0">
    <w:p w:rsidR="000219F6" w:rsidRDefault="000219F6" w:rsidP="00744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6" w:rsidRDefault="0043638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07C" w:rsidRPr="0074407C" w:rsidRDefault="0074407C" w:rsidP="0074407C">
    <w:pPr>
      <w:pStyle w:val="Fuzeile"/>
      <w:jc w:val="both"/>
      <w:rPr>
        <w:sz w:val="16"/>
        <w:szCs w:val="16"/>
      </w:rPr>
    </w:pPr>
    <w:r w:rsidRPr="0074407C">
      <w:rPr>
        <w:sz w:val="16"/>
        <w:szCs w:val="16"/>
      </w:rPr>
      <w:t xml:space="preserve">16  Quantenchemie </w:t>
    </w:r>
    <w:r>
      <w:rPr>
        <w:sz w:val="16"/>
        <w:szCs w:val="16"/>
      </w:rPr>
      <w:tab/>
    </w:r>
    <w:sdt>
      <w:sdtPr>
        <w:id w:val="-135422418"/>
        <w:docPartObj>
          <w:docPartGallery w:val="Page Numbers (Top of Page)"/>
          <w:docPartUnique/>
        </w:docPartObj>
      </w:sdtPr>
      <w:sdtEndPr>
        <w:rPr>
          <w:sz w:val="16"/>
          <w:szCs w:val="16"/>
        </w:rPr>
      </w:sdtEndPr>
      <w:sdtContent>
        <w:r w:rsidR="00436386" w:rsidRPr="00436386">
          <w:rPr>
            <w:sz w:val="16"/>
            <w:szCs w:val="16"/>
          </w:rPr>
          <w:fldChar w:fldCharType="begin"/>
        </w:r>
        <w:r w:rsidR="00436386" w:rsidRPr="00436386">
          <w:rPr>
            <w:sz w:val="16"/>
            <w:szCs w:val="16"/>
          </w:rPr>
          <w:instrText>PAGE   \* MERGEFORMAT</w:instrText>
        </w:r>
        <w:r w:rsidR="00436386" w:rsidRPr="00436386">
          <w:rPr>
            <w:sz w:val="16"/>
            <w:szCs w:val="16"/>
          </w:rPr>
          <w:fldChar w:fldCharType="separate"/>
        </w:r>
        <w:r w:rsidR="00992913" w:rsidRPr="00992913">
          <w:rPr>
            <w:noProof/>
            <w:sz w:val="16"/>
            <w:szCs w:val="16"/>
            <w:lang w:val="de-DE"/>
          </w:rPr>
          <w:t>2</w:t>
        </w:r>
        <w:r w:rsidR="00436386" w:rsidRPr="00436386">
          <w:rPr>
            <w:sz w:val="16"/>
            <w:szCs w:val="16"/>
          </w:rPr>
          <w:fldChar w:fldCharType="end"/>
        </w:r>
      </w:sdtContent>
    </w:sdt>
    <w:r>
      <w:rPr>
        <w:sz w:val="16"/>
        <w:szCs w:val="16"/>
      </w:rPr>
      <w:tab/>
    </w:r>
    <w:r w:rsidRPr="0074407C">
      <w:rPr>
        <w:sz w:val="16"/>
        <w:szCs w:val="16"/>
      </w:rPr>
      <w:t>Leuchtstäbe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07C" w:rsidRDefault="0074407C" w:rsidP="00436386">
    <w:pPr>
      <w:pStyle w:val="Kopfzeile"/>
    </w:pPr>
    <w:r w:rsidRPr="0074407C">
      <w:rPr>
        <w:sz w:val="16"/>
        <w:szCs w:val="16"/>
      </w:rPr>
      <w:t>16  Quantenchemie</w:t>
    </w:r>
    <w:r w:rsidR="003B731D">
      <w:rPr>
        <w:sz w:val="16"/>
        <w:szCs w:val="16"/>
      </w:rPr>
      <w:t xml:space="preserve"> </w:t>
    </w:r>
    <w:r w:rsidR="003B731D">
      <w:rPr>
        <w:sz w:val="16"/>
        <w:szCs w:val="16"/>
      </w:rPr>
      <w:tab/>
    </w:r>
    <w:sdt>
      <w:sdtPr>
        <w:id w:val="1792171101"/>
        <w:docPartObj>
          <w:docPartGallery w:val="Page Numbers (Top of Page)"/>
          <w:docPartUnique/>
        </w:docPartObj>
      </w:sdtPr>
      <w:sdtEndPr>
        <w:rPr>
          <w:sz w:val="16"/>
          <w:szCs w:val="16"/>
        </w:rPr>
      </w:sdtEndPr>
      <w:sdtContent>
        <w:r w:rsidR="00436386" w:rsidRPr="00436386">
          <w:rPr>
            <w:sz w:val="16"/>
            <w:szCs w:val="16"/>
          </w:rPr>
          <w:fldChar w:fldCharType="begin"/>
        </w:r>
        <w:r w:rsidR="00436386" w:rsidRPr="00436386">
          <w:rPr>
            <w:sz w:val="16"/>
            <w:szCs w:val="16"/>
          </w:rPr>
          <w:instrText>PAGE   \* MERGEFORMAT</w:instrText>
        </w:r>
        <w:r w:rsidR="00436386" w:rsidRPr="00436386">
          <w:rPr>
            <w:sz w:val="16"/>
            <w:szCs w:val="16"/>
          </w:rPr>
          <w:fldChar w:fldCharType="separate"/>
        </w:r>
        <w:r w:rsidR="00992913" w:rsidRPr="00992913">
          <w:rPr>
            <w:noProof/>
            <w:sz w:val="16"/>
            <w:szCs w:val="16"/>
            <w:lang w:val="de-DE"/>
          </w:rPr>
          <w:t>1</w:t>
        </w:r>
        <w:r w:rsidR="00436386" w:rsidRPr="00436386">
          <w:rPr>
            <w:sz w:val="16"/>
            <w:szCs w:val="16"/>
          </w:rPr>
          <w:fldChar w:fldCharType="end"/>
        </w:r>
      </w:sdtContent>
    </w:sdt>
    <w:r w:rsidR="00436386">
      <w:tab/>
    </w:r>
    <w:r w:rsidR="003B731D" w:rsidRPr="00F42B14">
      <w:rPr>
        <w:rFonts w:cstheme="minorHAnsi"/>
        <w:sz w:val="16"/>
      </w:rPr>
      <w:t>Seeland Gymnasium Biel  Chemie  Klemens Koch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9F6" w:rsidRDefault="000219F6" w:rsidP="0074407C">
      <w:pPr>
        <w:spacing w:line="240" w:lineRule="auto"/>
      </w:pPr>
      <w:r>
        <w:separator/>
      </w:r>
    </w:p>
  </w:footnote>
  <w:footnote w:type="continuationSeparator" w:id="0">
    <w:p w:rsidR="000219F6" w:rsidRDefault="000219F6" w:rsidP="007440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6" w:rsidRDefault="0043638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6" w:rsidRDefault="0043638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86" w:rsidRDefault="0043638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44255"/>
    <w:multiLevelType w:val="hybridMultilevel"/>
    <w:tmpl w:val="B418710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62CC0AEA"/>
    <w:multiLevelType w:val="hybridMultilevel"/>
    <w:tmpl w:val="AF02797C"/>
    <w:lvl w:ilvl="0" w:tplc="BEB24992">
      <w:start w:val="1"/>
      <w:numFmt w:val="decimal"/>
      <w:lvlText w:val="%1."/>
      <w:lvlJc w:val="left"/>
      <w:pPr>
        <w:ind w:left="720" w:hanging="360"/>
      </w:pPr>
      <w:rPr>
        <w:rFonts w:hint="default"/>
        <w:b/>
        <w:i w:val="0"/>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6A517158"/>
    <w:multiLevelType w:val="hybridMultilevel"/>
    <w:tmpl w:val="30964876"/>
    <w:lvl w:ilvl="0" w:tplc="BEB24992">
      <w:start w:val="1"/>
      <w:numFmt w:val="decimal"/>
      <w:lvlText w:val="%1."/>
      <w:lvlJc w:val="left"/>
      <w:pPr>
        <w:ind w:left="720" w:hanging="360"/>
      </w:pPr>
      <w:rPr>
        <w:rFonts w:hint="default"/>
        <w:b/>
        <w:i w:val="0"/>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274"/>
    <w:rsid w:val="000219F6"/>
    <w:rsid w:val="00021F92"/>
    <w:rsid w:val="00085051"/>
    <w:rsid w:val="00094A3D"/>
    <w:rsid w:val="000D2027"/>
    <w:rsid w:val="00101E8D"/>
    <w:rsid w:val="00143F3C"/>
    <w:rsid w:val="0016020F"/>
    <w:rsid w:val="00176A58"/>
    <w:rsid w:val="00245816"/>
    <w:rsid w:val="00262F75"/>
    <w:rsid w:val="00270014"/>
    <w:rsid w:val="0027501A"/>
    <w:rsid w:val="00293D41"/>
    <w:rsid w:val="002A2A61"/>
    <w:rsid w:val="002A39BB"/>
    <w:rsid w:val="002B5C61"/>
    <w:rsid w:val="002C0555"/>
    <w:rsid w:val="002C34C7"/>
    <w:rsid w:val="002D04DD"/>
    <w:rsid w:val="00351811"/>
    <w:rsid w:val="00366889"/>
    <w:rsid w:val="003B688A"/>
    <w:rsid w:val="003B731D"/>
    <w:rsid w:val="003C4464"/>
    <w:rsid w:val="00436386"/>
    <w:rsid w:val="00456247"/>
    <w:rsid w:val="00491C8C"/>
    <w:rsid w:val="00491DA5"/>
    <w:rsid w:val="004A4E14"/>
    <w:rsid w:val="004E132E"/>
    <w:rsid w:val="00510056"/>
    <w:rsid w:val="005664C9"/>
    <w:rsid w:val="00580D3A"/>
    <w:rsid w:val="005D356B"/>
    <w:rsid w:val="006003BC"/>
    <w:rsid w:val="00666CC1"/>
    <w:rsid w:val="00685D24"/>
    <w:rsid w:val="006B1FAD"/>
    <w:rsid w:val="006C6E1E"/>
    <w:rsid w:val="006E0D73"/>
    <w:rsid w:val="006F737C"/>
    <w:rsid w:val="0074407C"/>
    <w:rsid w:val="00785948"/>
    <w:rsid w:val="00787D93"/>
    <w:rsid w:val="007A40D1"/>
    <w:rsid w:val="007C4274"/>
    <w:rsid w:val="007D5F59"/>
    <w:rsid w:val="00882744"/>
    <w:rsid w:val="00894899"/>
    <w:rsid w:val="008A276A"/>
    <w:rsid w:val="008E5F24"/>
    <w:rsid w:val="008F5FB6"/>
    <w:rsid w:val="00911441"/>
    <w:rsid w:val="00992913"/>
    <w:rsid w:val="009E1E00"/>
    <w:rsid w:val="00A55749"/>
    <w:rsid w:val="00A95F23"/>
    <w:rsid w:val="00AB6816"/>
    <w:rsid w:val="00AE6C6F"/>
    <w:rsid w:val="00B50277"/>
    <w:rsid w:val="00B52D40"/>
    <w:rsid w:val="00BB3331"/>
    <w:rsid w:val="00BD1F3A"/>
    <w:rsid w:val="00C12458"/>
    <w:rsid w:val="00CB7814"/>
    <w:rsid w:val="00CD67C4"/>
    <w:rsid w:val="00CE3972"/>
    <w:rsid w:val="00D20E11"/>
    <w:rsid w:val="00D857EC"/>
    <w:rsid w:val="00DE5A6A"/>
    <w:rsid w:val="00E04951"/>
    <w:rsid w:val="00EE5A00"/>
    <w:rsid w:val="00F6774A"/>
    <w:rsid w:val="00FB63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2F75"/>
    <w:pPr>
      <w:spacing w:after="0" w:line="288" w:lineRule="auto"/>
    </w:pPr>
  </w:style>
  <w:style w:type="paragraph" w:styleId="berschrift1">
    <w:name w:val="heading 1"/>
    <w:basedOn w:val="Standard"/>
    <w:next w:val="Standard"/>
    <w:link w:val="berschrift1Zchn"/>
    <w:uiPriority w:val="9"/>
    <w:qFormat/>
    <w:rsid w:val="00262F75"/>
    <w:pPr>
      <w:keepNext/>
      <w:keepLines/>
      <w:outlineLvl w:val="0"/>
    </w:pPr>
    <w:rPr>
      <w:rFonts w:asciiTheme="majorHAnsi" w:eastAsiaTheme="majorEastAsia" w:hAnsiTheme="majorHAnsi"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C427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4274"/>
    <w:rPr>
      <w:rFonts w:ascii="Tahoma" w:hAnsi="Tahoma" w:cs="Tahoma"/>
      <w:sz w:val="16"/>
      <w:szCs w:val="16"/>
    </w:rPr>
  </w:style>
  <w:style w:type="paragraph" w:styleId="KeinLeerraum">
    <w:name w:val="No Spacing"/>
    <w:uiPriority w:val="1"/>
    <w:qFormat/>
    <w:rsid w:val="00262F75"/>
    <w:pPr>
      <w:spacing w:after="0" w:line="240" w:lineRule="auto"/>
    </w:pPr>
  </w:style>
  <w:style w:type="character" w:customStyle="1" w:styleId="berschrift1Zchn">
    <w:name w:val="Überschrift 1 Zchn"/>
    <w:basedOn w:val="Absatz-Standardschriftart"/>
    <w:link w:val="berschrift1"/>
    <w:uiPriority w:val="9"/>
    <w:rsid w:val="00262F75"/>
    <w:rPr>
      <w:rFonts w:asciiTheme="majorHAnsi" w:eastAsiaTheme="majorEastAsia" w:hAnsiTheme="majorHAnsi" w:cstheme="majorBidi"/>
      <w:b/>
      <w:bCs/>
      <w:sz w:val="28"/>
      <w:szCs w:val="28"/>
    </w:rPr>
  </w:style>
  <w:style w:type="table" w:styleId="Tabellenraster">
    <w:name w:val="Table Grid"/>
    <w:basedOn w:val="NormaleTabelle"/>
    <w:uiPriority w:val="59"/>
    <w:rsid w:val="00DE5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76A58"/>
    <w:pPr>
      <w:ind w:left="720"/>
      <w:contextualSpacing/>
    </w:pPr>
  </w:style>
  <w:style w:type="paragraph" w:customStyle="1" w:styleId="Titel3">
    <w:name w:val="Titel3"/>
    <w:basedOn w:val="Standard"/>
    <w:link w:val="Titel3Zchn"/>
    <w:rsid w:val="003C4464"/>
    <w:rPr>
      <w:rFonts w:ascii="Arial" w:eastAsia="Times New Roman" w:hAnsi="Arial" w:cs="Times New Roman"/>
      <w:b/>
      <w:sz w:val="24"/>
      <w:szCs w:val="24"/>
      <w:lang w:eastAsia="de-DE"/>
    </w:rPr>
  </w:style>
  <w:style w:type="character" w:customStyle="1" w:styleId="Titel3Zchn">
    <w:name w:val="Titel3 Zchn"/>
    <w:link w:val="Titel3"/>
    <w:rsid w:val="003C4464"/>
    <w:rPr>
      <w:rFonts w:ascii="Arial" w:eastAsia="Times New Roman" w:hAnsi="Arial" w:cs="Times New Roman"/>
      <w:b/>
      <w:sz w:val="24"/>
      <w:szCs w:val="24"/>
      <w:lang w:eastAsia="de-DE"/>
    </w:rPr>
  </w:style>
  <w:style w:type="paragraph" w:styleId="Kopfzeile">
    <w:name w:val="header"/>
    <w:basedOn w:val="Standard"/>
    <w:link w:val="KopfzeileZchn"/>
    <w:uiPriority w:val="99"/>
    <w:unhideWhenUsed/>
    <w:rsid w:val="0074407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4407C"/>
  </w:style>
  <w:style w:type="paragraph" w:styleId="Fuzeile">
    <w:name w:val="footer"/>
    <w:basedOn w:val="Standard"/>
    <w:link w:val="FuzeileZchn"/>
    <w:uiPriority w:val="99"/>
    <w:unhideWhenUsed/>
    <w:rsid w:val="0074407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440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2F75"/>
    <w:pPr>
      <w:spacing w:after="0" w:line="288" w:lineRule="auto"/>
    </w:pPr>
  </w:style>
  <w:style w:type="paragraph" w:styleId="berschrift1">
    <w:name w:val="heading 1"/>
    <w:basedOn w:val="Standard"/>
    <w:next w:val="Standard"/>
    <w:link w:val="berschrift1Zchn"/>
    <w:uiPriority w:val="9"/>
    <w:qFormat/>
    <w:rsid w:val="00262F75"/>
    <w:pPr>
      <w:keepNext/>
      <w:keepLines/>
      <w:outlineLvl w:val="0"/>
    </w:pPr>
    <w:rPr>
      <w:rFonts w:asciiTheme="majorHAnsi" w:eastAsiaTheme="majorEastAsia" w:hAnsiTheme="majorHAnsi"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C427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4274"/>
    <w:rPr>
      <w:rFonts w:ascii="Tahoma" w:hAnsi="Tahoma" w:cs="Tahoma"/>
      <w:sz w:val="16"/>
      <w:szCs w:val="16"/>
    </w:rPr>
  </w:style>
  <w:style w:type="paragraph" w:styleId="KeinLeerraum">
    <w:name w:val="No Spacing"/>
    <w:uiPriority w:val="1"/>
    <w:qFormat/>
    <w:rsid w:val="00262F75"/>
    <w:pPr>
      <w:spacing w:after="0" w:line="240" w:lineRule="auto"/>
    </w:pPr>
  </w:style>
  <w:style w:type="character" w:customStyle="1" w:styleId="berschrift1Zchn">
    <w:name w:val="Überschrift 1 Zchn"/>
    <w:basedOn w:val="Absatz-Standardschriftart"/>
    <w:link w:val="berschrift1"/>
    <w:uiPriority w:val="9"/>
    <w:rsid w:val="00262F75"/>
    <w:rPr>
      <w:rFonts w:asciiTheme="majorHAnsi" w:eastAsiaTheme="majorEastAsia" w:hAnsiTheme="majorHAnsi" w:cstheme="majorBidi"/>
      <w:b/>
      <w:bCs/>
      <w:sz w:val="28"/>
      <w:szCs w:val="28"/>
    </w:rPr>
  </w:style>
  <w:style w:type="table" w:styleId="Tabellenraster">
    <w:name w:val="Table Grid"/>
    <w:basedOn w:val="NormaleTabelle"/>
    <w:uiPriority w:val="59"/>
    <w:rsid w:val="00DE5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76A58"/>
    <w:pPr>
      <w:ind w:left="720"/>
      <w:contextualSpacing/>
    </w:pPr>
  </w:style>
  <w:style w:type="paragraph" w:customStyle="1" w:styleId="Titel3">
    <w:name w:val="Titel3"/>
    <w:basedOn w:val="Standard"/>
    <w:link w:val="Titel3Zchn"/>
    <w:rsid w:val="003C4464"/>
    <w:rPr>
      <w:rFonts w:ascii="Arial" w:eastAsia="Times New Roman" w:hAnsi="Arial" w:cs="Times New Roman"/>
      <w:b/>
      <w:sz w:val="24"/>
      <w:szCs w:val="24"/>
      <w:lang w:eastAsia="de-DE"/>
    </w:rPr>
  </w:style>
  <w:style w:type="character" w:customStyle="1" w:styleId="Titel3Zchn">
    <w:name w:val="Titel3 Zchn"/>
    <w:link w:val="Titel3"/>
    <w:rsid w:val="003C4464"/>
    <w:rPr>
      <w:rFonts w:ascii="Arial" w:eastAsia="Times New Roman" w:hAnsi="Arial" w:cs="Times New Roman"/>
      <w:b/>
      <w:sz w:val="24"/>
      <w:szCs w:val="24"/>
      <w:lang w:eastAsia="de-DE"/>
    </w:rPr>
  </w:style>
  <w:style w:type="paragraph" w:styleId="Kopfzeile">
    <w:name w:val="header"/>
    <w:basedOn w:val="Standard"/>
    <w:link w:val="KopfzeileZchn"/>
    <w:uiPriority w:val="99"/>
    <w:unhideWhenUsed/>
    <w:rsid w:val="0074407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4407C"/>
  </w:style>
  <w:style w:type="paragraph" w:styleId="Fuzeile">
    <w:name w:val="footer"/>
    <w:basedOn w:val="Standard"/>
    <w:link w:val="FuzeileZchn"/>
    <w:uiPriority w:val="99"/>
    <w:unhideWhenUsed/>
    <w:rsid w:val="0074407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4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811F0-91F1-40B0-9057-F5068FCA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3197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Klemens Koch</dc:creator>
  <cp:lastModifiedBy>Klemens Koch</cp:lastModifiedBy>
  <cp:revision>4</cp:revision>
  <cp:lastPrinted>2012-09-24T10:11:00Z</cp:lastPrinted>
  <dcterms:created xsi:type="dcterms:W3CDTF">2012-10-09T20:25:00Z</dcterms:created>
  <dcterms:modified xsi:type="dcterms:W3CDTF">2012-10-09T20:25:00Z</dcterms:modified>
</cp:coreProperties>
</file>